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44" w:rsidRPr="00D274EA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BD1515">
        <w:rPr>
          <w:rFonts w:cs="Arial"/>
          <w:b/>
          <w:bCs/>
          <w:color w:val="auto"/>
          <w:sz w:val="22"/>
          <w:szCs w:val="22"/>
        </w:rPr>
        <w:t xml:space="preserve">Anti-C (Anti-RH2) (monoclonal) 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BD1515">
        <w:rPr>
          <w:rFonts w:cs="Arial"/>
          <w:b/>
          <w:bCs/>
          <w:color w:val="auto"/>
          <w:sz w:val="22"/>
          <w:szCs w:val="22"/>
        </w:rPr>
        <w:t>Anti-E (Anti-RH3) (monoclonal)</w:t>
      </w:r>
    </w:p>
    <w:p w:rsidR="001C0C44" w:rsidRPr="00D274EA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BD1515">
        <w:rPr>
          <w:rFonts w:cs="Arial"/>
          <w:b/>
          <w:bCs/>
          <w:color w:val="auto"/>
          <w:sz w:val="22"/>
          <w:szCs w:val="22"/>
        </w:rPr>
        <w:t xml:space="preserve">Anti-c (Anti-RH4) (monoclonal) 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BD1515">
        <w:rPr>
          <w:rFonts w:cs="Arial"/>
          <w:b/>
          <w:bCs/>
          <w:color w:val="auto"/>
          <w:sz w:val="22"/>
          <w:szCs w:val="22"/>
        </w:rPr>
        <w:t>Anti-e (Anti-RH5) (monoclonal)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  <w:r w:rsidRPr="00BD1515">
        <w:rPr>
          <w:rFonts w:cs="Arial"/>
          <w:color w:val="auto"/>
          <w:sz w:val="12"/>
          <w:szCs w:val="12"/>
        </w:rPr>
        <w:t>For Slide, Tube, Card Test and Microplate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  <w:r w:rsidRPr="00BD1515">
        <w:rPr>
          <w:rFonts w:cs="Arial"/>
          <w:color w:val="auto"/>
          <w:sz w:val="14"/>
          <w:szCs w:val="14"/>
        </w:rPr>
        <w:t>FOR IN VITRO DIAGNOSTIC USE ONLY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INTENDED USE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Monoclonal agglutinating Anti-C, -c, -E, -e – testsera are produced from cell culture supernatants of heterohybridoma-cell lines. The cells are secreting an antibody of IgM-type, that reacts specific with the corresponding</w:t>
      </w:r>
      <w:r w:rsidRPr="00E667F4">
        <w:rPr>
          <w:rFonts w:cs="Arial"/>
          <w:color w:val="auto"/>
          <w:sz w:val="10"/>
          <w:szCs w:val="10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antigen. The antibody is human protein. The testsera are used to determine whether red blood cells</w:t>
      </w:r>
      <w:r w:rsidRPr="00E667F4">
        <w:rPr>
          <w:rFonts w:cs="Arial"/>
          <w:color w:val="auto"/>
          <w:sz w:val="10"/>
          <w:szCs w:val="10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possess or lack the corresponding blood group antigens. The testsera are intended be used by qualified and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technical personnel only.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 procedures used with these reagents are based on the principle of agglutination.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Normal human erythrocytes, possessing the corresponding antigen, will agglutinate in the presence of the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specific antibody directed toward the antigen.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REAGENTS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 listed reagents are available in two different variations (all agglutinating, monoclonal, human IgM). The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differences depend on cell clones only: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Anti-C (clones MS-24, P3x25513G8) Anti-E (clones MS-258, 906)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Anti-C (clone MS-273) Anti-E (clones MS-12, MS-260)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Anti-c (clone MS-33) Anti-e (clones MS-16, MS-21, MS-63)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Anti-c (clone MS-35) Anti-e (clones MS-62, MS-69)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All these reagents contain &lt;0.1% (w/v) sodium azide as preservative. Additionally the reagents are prepared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of active antibody, sodium chloride, macromolecules and bovine albumin.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WARNING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These reagents were prepared from supernatants of cell cultures. As biological products it should be looked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upon as potentially infectious because of never complete exclusion of danger through excitants of disease.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 reagents contain sodium azide, that may be toxic and may react with lead or copper to form highly explosive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salts. Because of these reasons reagents should be handled with proper care.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BD1515">
          <w:rPr>
            <w:rFonts w:cs="Arial"/>
            <w:color w:val="auto"/>
            <w:sz w:val="10"/>
            <w:szCs w:val="10"/>
          </w:rPr>
          <w:t>8°C</w:t>
        </w:r>
      </w:smartTag>
      <w:r w:rsidRPr="00BD1515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BD1515">
          <w:rPr>
            <w:rFonts w:cs="Arial"/>
            <w:color w:val="auto"/>
            <w:sz w:val="10"/>
            <w:szCs w:val="10"/>
          </w:rPr>
          <w:t>30°C</w:t>
        </w:r>
      </w:smartTag>
      <w:r w:rsidRPr="00BD1515">
        <w:rPr>
          <w:rFonts w:cs="Arial"/>
          <w:color w:val="auto"/>
          <w:sz w:val="10"/>
          <w:szCs w:val="10"/>
        </w:rPr>
        <w:t>) while in use. In principle, store and use the reagents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to declared expiry date only.</w:t>
      </w:r>
      <w:r w:rsidRPr="00F8556C">
        <w:rPr>
          <w:sz w:val="10"/>
          <w:szCs w:val="10"/>
        </w:rPr>
        <w:t xml:space="preserve"> </w:t>
      </w:r>
      <w:r w:rsidRPr="00181675">
        <w:rPr>
          <w:sz w:val="10"/>
          <w:szCs w:val="10"/>
        </w:rPr>
        <w:t>At keeping of storage conditions after bottle opening keep performance data to a validity expiration date.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REMARKS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Strength of positive reactions also depends on age of used blood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2. With each testing positive and negative controls should be performed.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4. Centrifugation highly different from appointed relative centrifugal force may lead to false results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5. Blood samples to be tested should be used as soon as possible. If a delay in testing occurs, samples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should be stored at 2 to </w:t>
      </w:r>
      <w:smartTag w:uri="urn:schemas-microsoft-com:office:smarttags" w:element="metricconverter">
        <w:smartTagPr>
          <w:attr w:name="ProductID" w:val="8°C"/>
        </w:smartTagPr>
        <w:r w:rsidRPr="00BD1515">
          <w:rPr>
            <w:rFonts w:cs="Arial"/>
            <w:color w:val="auto"/>
            <w:sz w:val="10"/>
            <w:szCs w:val="10"/>
          </w:rPr>
          <w:t>8°C</w:t>
        </w:r>
      </w:smartTag>
      <w:r w:rsidRPr="00BD1515">
        <w:rPr>
          <w:rFonts w:cs="Arial"/>
          <w:color w:val="auto"/>
          <w:sz w:val="10"/>
          <w:szCs w:val="10"/>
        </w:rPr>
        <w:t>. Blood drawn into sodium citrate or EDTA should be tested within 14 days.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Blood obtained by finger puncture may be tested directly by the slide method but, to avoid clotting, blood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collected in this manner should be mixed quickly with the reagent.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6. The procedures identified below are for manual testing only. When using automated or semi-automated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instruments, follow the procedures that are contained in the operator’s manual provided by the device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manufacturer. Laboratories must follow approved validation procedures to demonstrate compatibility of this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product on automated systems.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7. For usage of this testsera all effective national laws, directives and guidelines have to be observed, in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smartTag w:uri="urn:schemas-microsoft-com:office:smarttags" w:element="place">
        <w:smartTag w:uri="urn:schemas-microsoft-com:office:smarttags" w:element="country-region">
          <w:r w:rsidRPr="00BD1515">
            <w:rPr>
              <w:rFonts w:cs="Arial"/>
              <w:color w:val="auto"/>
              <w:sz w:val="10"/>
              <w:szCs w:val="10"/>
            </w:rPr>
            <w:t>Germany</w:t>
          </w:r>
        </w:smartTag>
      </w:smartTag>
      <w:r w:rsidRPr="00BD1515">
        <w:rPr>
          <w:rFonts w:cs="Arial"/>
          <w:color w:val="auto"/>
          <w:sz w:val="10"/>
          <w:szCs w:val="10"/>
        </w:rPr>
        <w:t xml:space="preserve"> especially the „Richtlinien zur Gewinnung von Blut und Blutbestandteilen und zur Anwendung von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Blutprodukten (Hämotherapie)“.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There is no preparation of the reagents required. Use reagents directly from the vials.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PROCEDURE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Not provided material, additionally needed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at Slide Method: Glass slide; Pasteur pipette; Mixing stick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at Tube Centrifugation Method: Test tubes, 10 x </w:t>
      </w:r>
      <w:smartTag w:uri="urn:schemas-microsoft-com:office:smarttags" w:element="metricconverter">
        <w:smartTagPr>
          <w:attr w:name="ProductID" w:val="1000 г"/>
        </w:smartTagPr>
        <w:r w:rsidRPr="00BD1515">
          <w:rPr>
            <w:rFonts w:cs="Arial"/>
            <w:color w:val="auto"/>
            <w:sz w:val="10"/>
            <w:szCs w:val="10"/>
          </w:rPr>
          <w:t>75 mm</w:t>
        </w:r>
      </w:smartTag>
      <w:r w:rsidRPr="00BD1515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1000 г"/>
        </w:smartTagPr>
        <w:r w:rsidRPr="00BD1515">
          <w:rPr>
            <w:rFonts w:cs="Arial"/>
            <w:color w:val="auto"/>
            <w:sz w:val="10"/>
            <w:szCs w:val="10"/>
          </w:rPr>
          <w:t>75 mm</w:t>
        </w:r>
      </w:smartTag>
      <w:r w:rsidRPr="00BD1515">
        <w:rPr>
          <w:rFonts w:cs="Arial"/>
          <w:color w:val="auto"/>
          <w:sz w:val="10"/>
          <w:szCs w:val="10"/>
        </w:rPr>
        <w:t>; Pipettes designed to deliver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approximately 100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L; Centrifuge; Isotonic saline (with 0,85 - 0,9% sodium chloride)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at Card Method: Cards (DiaMed ID-Card “NaCl, enzyme test and cold agglutinins”, BIORAD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„Scangel neutral“; Ortho Clinical Diagnostics „Biovue System Reverse Diluent” or Diagnostic Grifols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„DG Gel Neutral“);Pipettes; Card Centrifuge; card specific diluent.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at Microplate Method: microplate with 96 U wells; Pipettes designed to deliver approximately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100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L; Centrifuge; Shaker; Isotonic saline (with 0,85 - 0,9% sodium chloride)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Test procedure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Slide Method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Use erythrocyte sediment or whole blood only.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2. Place one drop (approximately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L) of appropriate reagent on a glass slide.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3. Using a Pasteur pipette add one drop erythrocyte sediment or whole blood (approximately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L) to the glass slide.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4. Mix the erythrocytes with reagent well with a stick and spread to a circle (diameter </w:t>
      </w:r>
      <w:smartTag w:uri="urn:schemas-microsoft-com:office:smarttags" w:element="metricconverter">
        <w:smartTagPr>
          <w:attr w:name="ProductID" w:val="1000 г"/>
        </w:smartTagPr>
        <w:r w:rsidRPr="00BD1515">
          <w:rPr>
            <w:rFonts w:cs="Arial"/>
            <w:color w:val="auto"/>
            <w:sz w:val="10"/>
            <w:szCs w:val="10"/>
          </w:rPr>
          <w:t>2 cm</w:t>
        </w:r>
      </w:smartTag>
      <w:r w:rsidRPr="00BD1515">
        <w:rPr>
          <w:rFonts w:cs="Arial"/>
          <w:color w:val="auto"/>
          <w:sz w:val="10"/>
          <w:szCs w:val="10"/>
        </w:rPr>
        <w:t>)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5. By slightly rotating the slide, check for agglutination within 1 minute (reaction starts within seconds). Unspecific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reactions might appear due to drying of the reaction-formation or if the slide is heated.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Use a 2% to 5% suspension of red blood cells in isotonic saline (cells washed one time or up to three times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with isotonic saline) only.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2. Add 100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L) of appropriate reagent to each tube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3. Add 100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L) of appropriate cell suspension to each tube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4. Mix well by slightly shaking.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1000 г"/>
        </w:smartTagPr>
        <w:r w:rsidRPr="00BD1515">
          <w:rPr>
            <w:rFonts w:cs="Arial"/>
            <w:color w:val="auto"/>
            <w:sz w:val="10"/>
            <w:szCs w:val="10"/>
          </w:rPr>
          <w:t>30 °C</w:t>
        </w:r>
      </w:smartTag>
      <w:r w:rsidRPr="00BD1515">
        <w:rPr>
          <w:rFonts w:cs="Arial"/>
          <w:color w:val="auto"/>
          <w:sz w:val="10"/>
          <w:szCs w:val="10"/>
        </w:rPr>
        <w:t>) for 15 min.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6. Centrifugation of tube for 1 minute at 2.000 rpm (approximately 800-1.000 x g).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7. Gently resuspend the red cells and check macroscopically for agglutination within 3 minutes. Document the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result.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Card Method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Use 0,8 % suspension of red blood cells in card specific diluent.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2. Add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 of appropriate cell suspension to each micro tube.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3. Add 25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 of appropriate testserum to each micro tube (alternative one drop). If automated techniques are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used add 10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 xml:space="preserve">L testserum. The use of 10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 testserum is possible in hand method too.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4. Centrifugation of card in appropriate card centrifuge after latest 30 minutes.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5. Check macroscopically for agglutination within 30 minutes. Document the result.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Microplate Method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Use 2% suspension of red blood cells in isotonic saline (cells may be washed one time or up to three times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with isotonic saline).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2. Add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 of appropriate cell suspension to each well.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 xml:space="preserve">3. Add 50 </w:t>
      </w:r>
      <w:r w:rsidRPr="00BD1515">
        <w:rPr>
          <w:rFonts w:cs="Arial"/>
          <w:color w:val="auto"/>
          <w:sz w:val="10"/>
          <w:szCs w:val="10"/>
          <w:lang w:val="ru-RU"/>
        </w:rPr>
        <w:t>μ</w:t>
      </w:r>
      <w:r w:rsidRPr="00BD1515">
        <w:rPr>
          <w:rFonts w:cs="Arial"/>
          <w:color w:val="auto"/>
          <w:sz w:val="10"/>
          <w:szCs w:val="10"/>
        </w:rPr>
        <w:t>L of appropriate testserum to each well.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4. To mix both 30 seconds on shaker with maximum speed.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5. Centrifugation of plate in appropriate centrifuge for 30 seconds at 400 x g.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6. For 30 seconds on shaker with medium speed, check macroscopically for agglutination. Document the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result.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" Slightly rotating / shaking " at Slide Method / at Tube Centrifugation Method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Positive results (+): visible agglutination of erythrocytes is a positive result and indicates the presence of the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corresponding antigen.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Negative results (-): No visible agglutination of erythrocytes is a negative result and indicates the absence of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 corresponding antigen.</w:t>
      </w:r>
    </w:p>
    <w:p w:rsidR="001C0C44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smartTag w:uri="urn:schemas-microsoft-com:office:smarttags" w:element="metricconverter">
        <w:smartTagPr>
          <w:attr w:name="ProductID" w:val="1000 г"/>
        </w:smartTagPr>
        <w:r w:rsidRPr="00BD1515">
          <w:rPr>
            <w:rFonts w:cs="Arial"/>
            <w:color w:val="auto"/>
            <w:sz w:val="10"/>
            <w:szCs w:val="10"/>
          </w:rPr>
          <w:t>Reading</w:t>
        </w:r>
      </w:smartTag>
      <w:r w:rsidRPr="00BD1515">
        <w:rPr>
          <w:rFonts w:cs="Arial"/>
          <w:color w:val="auto"/>
          <w:sz w:val="10"/>
          <w:szCs w:val="10"/>
        </w:rPr>
        <w:t xml:space="preserve"> and interpretation of gel cards has to be done as described in inserts of the card used.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D1515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1. Inaccuracy at compliance with instructions written under section “Procedures” and “Interpretation of results”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may lead to incorrect results.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2. No valid conclusion concerning the test result can be reached, if controls with uncertain or false results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occur.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4. Due to variability of antigen expression, reactivity of these reagents against certain phenotypes may give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weaker reactivity compared to control cells.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5. Red blood cells coated with alloantibodies or autoantibodies of the same or similar specificity as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the reagent (i.e., cells that are positive in the direct antiglobulin-test (DAT)) may give weak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reactions. In extreme cases, false-negative results may occur.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6. Red blood cells coated with antibodies (cells that are positive in the direct antiglobulin-test (DAT)) may give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false-positive results in card method. These cells react positive without testserum too.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7. Pay attention to all statements to limitations in inserts of used gel cards.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8. Negative test results with anti-e (clones: MS-62, MS-69) in microplate method have to be confirmed by an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other technique, as false negative results may occur.</w:t>
      </w:r>
    </w:p>
    <w:p w:rsidR="001C0C44" w:rsidRPr="00BD1515" w:rsidRDefault="001C0C44" w:rsidP="00BD1515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D1515">
        <w:rPr>
          <w:rFonts w:cs="Arial"/>
          <w:color w:val="auto"/>
          <w:sz w:val="10"/>
          <w:szCs w:val="10"/>
        </w:rPr>
        <w:t>9. With cord cells anti-c (clone: MS-33) may possess anti-I/i cold agglutinin activity and therefore show false</w:t>
      </w:r>
    </w:p>
    <w:p w:rsidR="001C0C44" w:rsidRPr="006A21C6" w:rsidRDefault="001C0C44" w:rsidP="00C6004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 w:rsidRPr="00BD1515">
        <w:rPr>
          <w:rFonts w:cs="Arial"/>
          <w:color w:val="auto"/>
          <w:sz w:val="10"/>
          <w:szCs w:val="10"/>
        </w:rPr>
        <w:t>positive</w:t>
      </w:r>
      <w:r w:rsidRPr="006A21C6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results</w:t>
      </w:r>
      <w:r w:rsidRPr="006A21C6">
        <w:rPr>
          <w:rFonts w:cs="Arial"/>
          <w:color w:val="auto"/>
          <w:sz w:val="10"/>
          <w:szCs w:val="10"/>
          <w:lang w:val="ru-RU"/>
        </w:rPr>
        <w:t>.</w:t>
      </w:r>
    </w:p>
    <w:p w:rsidR="001C0C44" w:rsidRPr="006A21C6" w:rsidRDefault="001C0C44" w:rsidP="00C60045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</w:p>
    <w:p w:rsidR="001C0C44" w:rsidRPr="00F93B14" w:rsidRDefault="001C0C44" w:rsidP="00C60045">
      <w:pPr>
        <w:pStyle w:val="2"/>
        <w:keepLines/>
        <w:contextualSpacing/>
        <w:jc w:val="left"/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</w:pP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C</w:t>
      </w:r>
      <w:r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RH</w:t>
      </w:r>
      <w:r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2)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моноклональный</w:t>
      </w:r>
      <w:r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) </w:t>
      </w:r>
    </w:p>
    <w:p w:rsidR="001C0C44" w:rsidRPr="00107CB7" w:rsidRDefault="001C0C44" w:rsidP="00C60045">
      <w:pPr>
        <w:pStyle w:val="2"/>
        <w:keepLines/>
        <w:contextualSpacing/>
        <w:jc w:val="left"/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</w:pP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E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RH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3)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моноклональный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)</w:t>
      </w:r>
      <w:r w:rsidRPr="00D274EA">
        <w:rPr>
          <w:noProof/>
          <w:sz w:val="10"/>
          <w:szCs w:val="10"/>
          <w:lang w:val="ru-RU"/>
        </w:rPr>
        <w:t xml:space="preserve"> </w:t>
      </w:r>
    </w:p>
    <w:p w:rsidR="001C0C44" w:rsidRDefault="00B737F2" w:rsidP="00C60045">
      <w:pPr>
        <w:pStyle w:val="2"/>
        <w:keepLines/>
        <w:contextualSpacing/>
        <w:jc w:val="left"/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16510</wp:posOffset>
            </wp:positionV>
            <wp:extent cx="609600" cy="1006792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06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C44" w:rsidRPr="00F93B1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 </w:t>
      </w:r>
      <w:r w:rsidR="001C0C4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="001C0C44"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="001C0C44"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c</w:t>
      </w:r>
      <w:r w:rsidR="001C0C44"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 (</w:t>
      </w:r>
      <w:r w:rsidR="001C0C4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="001C0C44"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="001C0C44"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RH</w:t>
      </w:r>
      <w:r w:rsidR="001C0C44"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4) (</w:t>
      </w:r>
      <w:r w:rsidR="001C0C44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моноклональный</w:t>
      </w:r>
      <w:r w:rsidR="001C0C44"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) </w:t>
      </w:r>
    </w:p>
    <w:p w:rsidR="001C0C44" w:rsidRPr="00107CB7" w:rsidRDefault="001C0C44" w:rsidP="00C60045">
      <w:pPr>
        <w:pStyle w:val="2"/>
        <w:keepLines/>
        <w:contextualSpacing/>
        <w:jc w:val="left"/>
        <w:rPr>
          <w:rFonts w:ascii="Arial" w:hAnsi="Arial" w:cs="Arial"/>
          <w:i w:val="0"/>
          <w:sz w:val="15"/>
          <w:szCs w:val="15"/>
          <w:lang w:val="ru-RU"/>
        </w:rPr>
      </w:pP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e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 xml:space="preserve">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Анти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-</w:t>
      </w:r>
      <w:r w:rsidRPr="00C60045">
        <w:rPr>
          <w:rFonts w:ascii="Arial" w:hAnsi="Arial" w:cs="Arial"/>
          <w:bCs w:val="0"/>
          <w:i w:val="0"/>
          <w:color w:val="auto"/>
          <w:sz w:val="22"/>
          <w:szCs w:val="22"/>
        </w:rPr>
        <w:t>RH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5) (</w:t>
      </w:r>
      <w:r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моноклональный</w:t>
      </w:r>
      <w:r w:rsidRPr="00107CB7">
        <w:rPr>
          <w:rFonts w:ascii="Arial" w:hAnsi="Arial" w:cs="Arial"/>
          <w:bCs w:val="0"/>
          <w:i w:val="0"/>
          <w:color w:val="auto"/>
          <w:sz w:val="22"/>
          <w:szCs w:val="22"/>
          <w:lang w:val="ru-RU"/>
        </w:rPr>
        <w:t>)</w:t>
      </w:r>
      <w:r w:rsidRPr="00D274EA">
        <w:rPr>
          <w:rFonts w:ascii="Arial" w:hAnsi="Arial" w:cs="Arial"/>
          <w:i w:val="0"/>
          <w:noProof/>
          <w:sz w:val="22"/>
          <w:szCs w:val="22"/>
          <w:lang w:val="ru-RU"/>
        </w:rPr>
        <w:t xml:space="preserve"> </w:t>
      </w:r>
    </w:p>
    <w:p w:rsidR="001C0C44" w:rsidRPr="00F23F03" w:rsidRDefault="001C0C44" w:rsidP="004571B7">
      <w:pPr>
        <w:keepNext/>
        <w:keepLines/>
        <w:contextualSpacing/>
        <w:rPr>
          <w:rFonts w:cs="Arial"/>
          <w:sz w:val="12"/>
          <w:szCs w:val="12"/>
          <w:lang w:val="ru-RU"/>
        </w:rPr>
      </w:pPr>
      <w:r w:rsidRPr="00F23F03">
        <w:rPr>
          <w:rFonts w:cs="Arial"/>
          <w:sz w:val="12"/>
          <w:szCs w:val="12"/>
          <w:lang w:val="ru-RU"/>
        </w:rPr>
        <w:t>Для работы: на плоскости, в пробирке, в гелевых картах, в микроплатах</w:t>
      </w:r>
    </w:p>
    <w:p w:rsidR="001C0C44" w:rsidRPr="00F23F03" w:rsidRDefault="001C0C44" w:rsidP="004571B7">
      <w:pPr>
        <w:keepNext/>
        <w:keepLines/>
        <w:spacing w:after="60"/>
        <w:contextualSpacing/>
        <w:rPr>
          <w:rFonts w:cs="Arial"/>
          <w:sz w:val="14"/>
          <w:szCs w:val="14"/>
          <w:lang w:val="ru-RU"/>
        </w:rPr>
      </w:pPr>
      <w:r w:rsidRPr="00F23F03">
        <w:rPr>
          <w:rFonts w:cs="Arial"/>
          <w:sz w:val="14"/>
          <w:szCs w:val="14"/>
          <w:lang w:val="ru-RU"/>
        </w:rPr>
        <w:t>Только для диагностик</w:t>
      </w:r>
      <w:r>
        <w:rPr>
          <w:rFonts w:cs="Arial"/>
          <w:sz w:val="14"/>
          <w:szCs w:val="14"/>
          <w:lang w:val="ru-RU"/>
        </w:rPr>
        <w:t>и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i</w:t>
      </w:r>
      <w:r w:rsidRPr="00F23F03">
        <w:rPr>
          <w:rFonts w:cs="Arial"/>
          <w:sz w:val="14"/>
          <w:szCs w:val="14"/>
        </w:rPr>
        <w:t>n</w:t>
      </w:r>
      <w:r w:rsidRPr="00067919">
        <w:rPr>
          <w:rFonts w:cs="Arial"/>
          <w:sz w:val="14"/>
          <w:szCs w:val="14"/>
          <w:lang w:val="ru-RU"/>
        </w:rPr>
        <w:t xml:space="preserve"> </w:t>
      </w:r>
      <w:r>
        <w:rPr>
          <w:rFonts w:cs="Arial"/>
          <w:sz w:val="14"/>
          <w:szCs w:val="14"/>
        </w:rPr>
        <w:t>v</w:t>
      </w:r>
      <w:r w:rsidRPr="00F23F03">
        <w:rPr>
          <w:rFonts w:cs="Arial"/>
          <w:sz w:val="14"/>
          <w:szCs w:val="14"/>
        </w:rPr>
        <w:t>itro</w:t>
      </w:r>
    </w:p>
    <w:p w:rsidR="001C0C44" w:rsidRPr="00265EB5" w:rsidRDefault="001C0C44" w:rsidP="00265EB5">
      <w:pPr>
        <w:keepNext/>
        <w:keepLines/>
        <w:spacing w:after="60"/>
        <w:contextualSpacing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НАЗНАЧЕНИЕ</w:t>
      </w:r>
    </w:p>
    <w:p w:rsidR="001C0C44" w:rsidRPr="007D4993" w:rsidRDefault="001C0C44" w:rsidP="00265EB5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Моноклональные агглютинирующие тест-сы</w:t>
      </w:r>
      <w:r>
        <w:rPr>
          <w:sz w:val="10"/>
          <w:szCs w:val="10"/>
          <w:lang w:val="ru-RU"/>
        </w:rPr>
        <w:t>воротки Анти-С,-с,-Е,-е</w:t>
      </w:r>
      <w:r w:rsidRPr="003A5E44">
        <w:rPr>
          <w:sz w:val="10"/>
          <w:szCs w:val="10"/>
          <w:lang w:val="ru-RU"/>
        </w:rPr>
        <w:t xml:space="preserve">  изготовлены из надосадочных жидкостей клеточных культур </w:t>
      </w:r>
      <w:r>
        <w:rPr>
          <w:sz w:val="10"/>
          <w:szCs w:val="10"/>
          <w:lang w:val="ru-RU"/>
        </w:rPr>
        <w:t>гетерогибридом</w:t>
      </w:r>
      <w:r w:rsidRPr="003A5E44">
        <w:rPr>
          <w:sz w:val="10"/>
          <w:szCs w:val="10"/>
          <w:lang w:val="ru-RU"/>
        </w:rPr>
        <w:t xml:space="preserve">. </w:t>
      </w:r>
      <w:r w:rsidRPr="00265EB5">
        <w:rPr>
          <w:sz w:val="10"/>
          <w:szCs w:val="10"/>
          <w:lang w:val="ru-RU"/>
        </w:rPr>
        <w:t xml:space="preserve">Клетки продуцируют антитела класса </w:t>
      </w:r>
      <w:r w:rsidRPr="004571B7">
        <w:rPr>
          <w:sz w:val="10"/>
          <w:szCs w:val="10"/>
        </w:rPr>
        <w:t>IgM</w:t>
      </w:r>
      <w:r w:rsidRPr="00265EB5">
        <w:rPr>
          <w:sz w:val="10"/>
          <w:szCs w:val="10"/>
          <w:lang w:val="ru-RU"/>
        </w:rPr>
        <w:t xml:space="preserve">, которые специфично взаимодействуют с соответствующими антигенами.  </w:t>
      </w:r>
      <w:r w:rsidRPr="00F93B14">
        <w:rPr>
          <w:rFonts w:cs="Arial"/>
          <w:sz w:val="10"/>
          <w:szCs w:val="10"/>
          <w:lang w:val="ru-RU"/>
        </w:rPr>
        <w:t>Антитело является человеческим белком.</w:t>
      </w:r>
      <w:r>
        <w:rPr>
          <w:rFonts w:cs="Arial"/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>Тест-сыворотка определяет наличие или отсутствие соответствующи</w:t>
      </w:r>
      <w:r>
        <w:rPr>
          <w:sz w:val="10"/>
          <w:szCs w:val="10"/>
          <w:lang w:val="ru-RU"/>
        </w:rPr>
        <w:t>х антигенов</w:t>
      </w:r>
      <w:r w:rsidRPr="003A5E44">
        <w:rPr>
          <w:sz w:val="10"/>
          <w:szCs w:val="10"/>
          <w:lang w:val="ru-RU"/>
        </w:rPr>
        <w:t>. Тест-сыворотка может использоваться только квалифицированным персоналом.</w:t>
      </w:r>
    </w:p>
    <w:p w:rsidR="001C0C44" w:rsidRPr="004571B7" w:rsidRDefault="001C0C44" w:rsidP="00265EB5">
      <w:pPr>
        <w:keepNext/>
        <w:keepLines/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1C0C44" w:rsidRPr="00F93B14" w:rsidRDefault="001C0C44" w:rsidP="00F93B14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F93B14">
        <w:rPr>
          <w:rFonts w:cs="Arial"/>
          <w:sz w:val="10"/>
          <w:szCs w:val="10"/>
          <w:lang w:val="ru-RU"/>
        </w:rPr>
        <w:t>Исследование с использованием данных реагентов основано на принципе агглютинации. Нормальные человеческие эритроциты, обладающие соответствующим антигеном, агглютинируют в присутствии специфического антитела, направленного против антигена.</w:t>
      </w:r>
    </w:p>
    <w:p w:rsidR="001C0C44" w:rsidRPr="004571B7" w:rsidRDefault="001C0C44" w:rsidP="00265EB5">
      <w:pPr>
        <w:keepNext/>
        <w:keepLines/>
        <w:spacing w:after="60"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4571B7">
        <w:rPr>
          <w:rFonts w:cs="Arial"/>
          <w:b/>
          <w:sz w:val="10"/>
          <w:szCs w:val="10"/>
          <w:lang w:val="ru-RU"/>
        </w:rPr>
        <w:t>РЕАГЕНТЫ</w:t>
      </w:r>
    </w:p>
    <w:p w:rsidR="001C0C44" w:rsidRDefault="001C0C44" w:rsidP="00F8556C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>Перечисленные реагенты содержат антитела следующих клеточных клонов:</w:t>
      </w:r>
    </w:p>
    <w:p w:rsidR="001C0C44" w:rsidRPr="00F8556C" w:rsidRDefault="001C0C44" w:rsidP="00F8556C">
      <w:pPr>
        <w:keepNext/>
        <w:keepLines/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C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клоны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-24, </w:t>
      </w:r>
      <w:r w:rsidRPr="00BD1515">
        <w:rPr>
          <w:rFonts w:cs="Arial"/>
          <w:color w:val="auto"/>
          <w:sz w:val="10"/>
          <w:szCs w:val="10"/>
        </w:rPr>
        <w:t>P</w:t>
      </w:r>
      <w:r w:rsidRPr="00F8556C">
        <w:rPr>
          <w:rFonts w:cs="Arial"/>
          <w:color w:val="auto"/>
          <w:sz w:val="10"/>
          <w:szCs w:val="10"/>
          <w:lang w:val="ru-RU"/>
        </w:rPr>
        <w:t>3</w:t>
      </w:r>
      <w:r w:rsidRPr="00BD1515">
        <w:rPr>
          <w:rFonts w:cs="Arial"/>
          <w:color w:val="auto"/>
          <w:sz w:val="10"/>
          <w:szCs w:val="10"/>
        </w:rPr>
        <w:t>x</w:t>
      </w:r>
      <w:r w:rsidRPr="00F8556C">
        <w:rPr>
          <w:rFonts w:cs="Arial"/>
          <w:color w:val="auto"/>
          <w:sz w:val="10"/>
          <w:szCs w:val="10"/>
          <w:lang w:val="ru-RU"/>
        </w:rPr>
        <w:t>25513</w:t>
      </w:r>
      <w:r w:rsidRPr="00BD1515">
        <w:rPr>
          <w:rFonts w:cs="Arial"/>
          <w:color w:val="auto"/>
          <w:sz w:val="10"/>
          <w:szCs w:val="10"/>
        </w:rPr>
        <w:t>G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8)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E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клоны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-258, 906) </w:t>
      </w:r>
    </w:p>
    <w:p w:rsidR="001C0C44" w:rsidRPr="00F8556C" w:rsidRDefault="001C0C44" w:rsidP="00F8556C">
      <w:pPr>
        <w:keepNext/>
        <w:keepLines/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C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-273)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E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клоны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-12,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>-260)</w:t>
      </w:r>
    </w:p>
    <w:p w:rsidR="001C0C44" w:rsidRPr="00F8556C" w:rsidRDefault="001C0C44" w:rsidP="00F8556C">
      <w:pPr>
        <w:keepNext/>
        <w:keepLines/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c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-33)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e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клоны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-16,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-21,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>-63)</w:t>
      </w:r>
    </w:p>
    <w:p w:rsidR="001C0C44" w:rsidRPr="00F8556C" w:rsidRDefault="001C0C44" w:rsidP="00F8556C">
      <w:pPr>
        <w:keepNext/>
        <w:keepLines/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c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-35)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F8556C">
        <w:rPr>
          <w:rFonts w:cs="Arial"/>
          <w:color w:val="auto"/>
          <w:sz w:val="10"/>
          <w:szCs w:val="10"/>
          <w:lang w:val="ru-RU"/>
        </w:rPr>
        <w:t>-</w:t>
      </w:r>
      <w:r w:rsidRPr="00BD1515">
        <w:rPr>
          <w:rFonts w:cs="Arial"/>
          <w:color w:val="auto"/>
          <w:sz w:val="10"/>
          <w:szCs w:val="10"/>
        </w:rPr>
        <w:t>e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клоны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 xml:space="preserve">-62, </w:t>
      </w:r>
      <w:r w:rsidRPr="00BD1515">
        <w:rPr>
          <w:rFonts w:cs="Arial"/>
          <w:color w:val="auto"/>
          <w:sz w:val="10"/>
          <w:szCs w:val="10"/>
        </w:rPr>
        <w:t>MS</w:t>
      </w:r>
      <w:r w:rsidRPr="00F8556C">
        <w:rPr>
          <w:rFonts w:cs="Arial"/>
          <w:color w:val="auto"/>
          <w:sz w:val="10"/>
          <w:szCs w:val="10"/>
          <w:lang w:val="ru-RU"/>
        </w:rPr>
        <w:t>-69)</w:t>
      </w:r>
    </w:p>
    <w:p w:rsidR="001C0C44" w:rsidRDefault="001C0C44" w:rsidP="00F8556C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Все реагенты содержат &lt;0,1 % азида натрия в качестве консерванта. Также реагенты содержат активные антитела,  хлорид натрия, макромолекулы и альбумин бычьей крови.</w:t>
      </w:r>
    </w:p>
    <w:p w:rsidR="001C0C44" w:rsidRDefault="001C0C44" w:rsidP="00265EB5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181675">
        <w:rPr>
          <w:b/>
          <w:sz w:val="10"/>
          <w:szCs w:val="10"/>
          <w:lang w:val="ru-RU"/>
        </w:rPr>
        <w:t>ПРЕДУПРЕЖДЕНИЕ</w:t>
      </w:r>
      <w:r w:rsidRPr="003A5E44">
        <w:rPr>
          <w:sz w:val="10"/>
          <w:szCs w:val="10"/>
          <w:lang w:val="ru-RU"/>
        </w:rPr>
        <w:t xml:space="preserve"> </w:t>
      </w:r>
    </w:p>
    <w:p w:rsidR="001C0C44" w:rsidRPr="007D4993" w:rsidRDefault="001C0C44" w:rsidP="00265EB5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Данные реагенты изготовлены из надосадочных жидкостей клеточных культур.</w:t>
      </w:r>
      <w:r>
        <w:rPr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 xml:space="preserve"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</w:t>
      </w:r>
      <w:r w:rsidRPr="006D4B59">
        <w:rPr>
          <w:sz w:val="10"/>
          <w:szCs w:val="10"/>
          <w:lang w:val="ru-RU"/>
        </w:rPr>
        <w:t>Реагент содержит азид натрия, который может быть токсичным и реагировать со свинцом или медью, образуя взрывоопасные соединения.</w:t>
      </w:r>
      <w:r>
        <w:rPr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>Вследствие этого эти реагенты должны использоваться с большой осторожностью.</w:t>
      </w:r>
    </w:p>
    <w:p w:rsidR="001C0C44" w:rsidRPr="00265EB5" w:rsidRDefault="001C0C44" w:rsidP="00265EB5">
      <w:pPr>
        <w:keepNext/>
        <w:keepLine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3A5E44">
        <w:rPr>
          <w:b/>
          <w:sz w:val="10"/>
          <w:szCs w:val="10"/>
          <w:lang w:val="ru-RU"/>
        </w:rPr>
        <w:t>УСЛОВИЯ ХРАНЕНИЯ</w:t>
      </w:r>
    </w:p>
    <w:p w:rsidR="001C0C44" w:rsidRPr="00F93B14" w:rsidRDefault="001C0C44" w:rsidP="00F93B14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F93B14">
        <w:rPr>
          <w:rFonts w:cs="Arial"/>
          <w:sz w:val="10"/>
          <w:szCs w:val="10"/>
          <w:lang w:val="ru-RU"/>
        </w:rPr>
        <w:t>Хранить при температуре 2 – 8</w:t>
      </w:r>
      <w:r w:rsidRPr="00DC61EE">
        <w:rPr>
          <w:rFonts w:cs="Arial"/>
          <w:sz w:val="10"/>
          <w:szCs w:val="10"/>
        </w:rPr>
        <w:sym w:font="Symbol" w:char="F0B0"/>
      </w:r>
      <w:r w:rsidRPr="00F93B14">
        <w:rPr>
          <w:rFonts w:cs="Arial"/>
          <w:sz w:val="10"/>
          <w:szCs w:val="10"/>
          <w:lang w:val="ru-RU"/>
        </w:rPr>
        <w:t>С. В процессе использования могут находиться при комнатной температуре (15 – 30</w:t>
      </w:r>
      <w:r w:rsidRPr="00DC61EE">
        <w:rPr>
          <w:rFonts w:cs="Arial"/>
          <w:sz w:val="10"/>
          <w:szCs w:val="10"/>
        </w:rPr>
        <w:sym w:font="Symbol" w:char="F0B0"/>
      </w:r>
      <w:r w:rsidRPr="00F93B14">
        <w:rPr>
          <w:rFonts w:cs="Arial"/>
          <w:sz w:val="10"/>
          <w:szCs w:val="10"/>
          <w:lang w:val="ru-RU"/>
        </w:rPr>
        <w:t>С). Храните и используйте реагенты до указанной даты истечения срока годности.</w:t>
      </w:r>
      <w:r w:rsidRPr="00F93B14">
        <w:rPr>
          <w:rFonts w:cs="Arial"/>
          <w:lang w:val="ru-RU"/>
        </w:rPr>
        <w:t xml:space="preserve"> </w:t>
      </w:r>
      <w:r w:rsidRPr="00F93B14">
        <w:rPr>
          <w:rFonts w:cs="Arial"/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1C0C44" w:rsidRPr="003A5E44" w:rsidRDefault="001C0C44" w:rsidP="00265EB5">
      <w:pPr>
        <w:keepNext/>
        <w:keepLines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ПРИМЕЧАНИЯ</w:t>
      </w:r>
    </w:p>
    <w:p w:rsidR="001C0C44" w:rsidRPr="004571B7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положительной реакции зависит от возраста используемой крови</w:t>
      </w:r>
    </w:p>
    <w:p w:rsidR="001C0C44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F60712">
        <w:rPr>
          <w:sz w:val="10"/>
          <w:szCs w:val="10"/>
        </w:rPr>
        <w:t xml:space="preserve">В каждом исследовании должен выполняться </w:t>
      </w:r>
      <w:r>
        <w:rPr>
          <w:sz w:val="10"/>
          <w:szCs w:val="10"/>
        </w:rPr>
        <w:t xml:space="preserve">положительный и отрицательный </w:t>
      </w:r>
      <w:r w:rsidRPr="00F60712">
        <w:rPr>
          <w:sz w:val="10"/>
          <w:szCs w:val="10"/>
        </w:rPr>
        <w:t xml:space="preserve">контроль. </w:t>
      </w:r>
    </w:p>
    <w:p w:rsidR="001C0C44" w:rsidRPr="00F60712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F60712">
        <w:rPr>
          <w:sz w:val="10"/>
          <w:szCs w:val="10"/>
        </w:rPr>
        <w:t>Ненадлежащее хранение способствует снижению активности реагента.</w:t>
      </w:r>
    </w:p>
    <w:p w:rsidR="001C0C44" w:rsidRPr="004571B7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1C0C44" w:rsidRPr="004571B7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71B7">
        <w:rPr>
          <w:sz w:val="10"/>
          <w:szCs w:val="10"/>
        </w:rPr>
        <w:sym w:font="Symbol" w:char="F0B0"/>
      </w:r>
      <w:r w:rsidRPr="004571B7">
        <w:rPr>
          <w:sz w:val="10"/>
          <w:szCs w:val="10"/>
        </w:rPr>
        <w:t xml:space="preserve">С. Кровь с цитратом натрия или ЭДТА должна исследоваться в течение 14 дней. Взятая из пальца кровь может быть исследована на плоскости, но, во избежание образования сгустков, такая кровь должна быть как можно быстрее смешана с </w:t>
      </w:r>
      <w:r>
        <w:rPr>
          <w:sz w:val="10"/>
          <w:szCs w:val="10"/>
        </w:rPr>
        <w:t>реагентом</w:t>
      </w:r>
      <w:r w:rsidRPr="004571B7">
        <w:rPr>
          <w:sz w:val="10"/>
          <w:szCs w:val="10"/>
        </w:rPr>
        <w:t>.</w:t>
      </w:r>
    </w:p>
    <w:p w:rsidR="001C0C44" w:rsidRPr="004571B7" w:rsidRDefault="001C0C44" w:rsidP="00D5147C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1C0C44" w:rsidRPr="003A5E44" w:rsidRDefault="001C0C44" w:rsidP="006A21C6">
      <w:pPr>
        <w:pStyle w:val="a4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1C0C44" w:rsidRPr="00265EB5" w:rsidRDefault="001C0C44" w:rsidP="00265EB5">
      <w:pPr>
        <w:pStyle w:val="a4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ПРИГОТОВЛЕНИЕ РЕАГЕНТА</w:t>
      </w:r>
    </w:p>
    <w:p w:rsidR="001C0C44" w:rsidRPr="007D4993" w:rsidRDefault="001C0C44" w:rsidP="00265EB5">
      <w:pPr>
        <w:pStyle w:val="a4"/>
        <w:keepNext/>
        <w:keepLine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Реагенты готовы к применению. Используйте реагенты прямо из флаконов.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ИССЛЕДОВАНИЕ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 не обеспечен материалом, дополнительно требуются: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на плоскости</w:t>
      </w:r>
      <w:r w:rsidRPr="004571B7">
        <w:rPr>
          <w:b/>
          <w:sz w:val="10"/>
          <w:szCs w:val="10"/>
        </w:rPr>
        <w:t>:</w:t>
      </w:r>
      <w:r w:rsidRPr="004571B7">
        <w:rPr>
          <w:sz w:val="10"/>
          <w:szCs w:val="10"/>
        </w:rPr>
        <w:t xml:space="preserve"> Планшет, пипетка Пастера, Палочки для смешивания.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центрифугирования в пробирке:</w:t>
      </w:r>
      <w:r w:rsidRPr="004571B7">
        <w:rPr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 xml:space="preserve">Для гелевого метода: </w:t>
      </w:r>
      <w:r w:rsidRPr="004571B7">
        <w:rPr>
          <w:sz w:val="10"/>
          <w:szCs w:val="10"/>
        </w:rPr>
        <w:t>Гелевые карты (DiaMedID-Card «NaCl, ферментный тест и холодовая агглютинация», BIO-RAD «Scangel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neutral», Grifols «DG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Gel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Neutral»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или Ortho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Clinical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Diagnostics «Biovue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System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Reverse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Diluent», Пипетка, позволяющая дозировать микролитры, Центрифуга для гелевых карт, раствор для гелевых карт).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 xml:space="preserve">Для работы в микроплатах: </w:t>
      </w:r>
      <w:r w:rsidRPr="004571B7">
        <w:rPr>
          <w:sz w:val="10"/>
          <w:szCs w:val="10"/>
        </w:rPr>
        <w:t>микроплата с 96 U-образными лунками, Пипетка, позволяющая дозировать микролитры, Центрифуга, Шейкер, изотонический раствор (0,85 – 0,9 % натрия хлорида).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b/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Алгоритм исследования</w:t>
      </w:r>
    </w:p>
    <w:p w:rsidR="001C0C44" w:rsidRPr="004571B7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 на плоскости</w:t>
      </w:r>
    </w:p>
    <w:p w:rsidR="001C0C44" w:rsidRPr="004571B7" w:rsidRDefault="001C0C44" w:rsidP="00EC492F">
      <w:pPr>
        <w:pStyle w:val="a4"/>
        <w:keepNext/>
        <w:keepLines/>
        <w:numPr>
          <w:ilvl w:val="0"/>
          <w:numId w:val="5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осадок эритроцитов или цельную кровь.</w:t>
      </w:r>
    </w:p>
    <w:p w:rsidR="001C0C44" w:rsidRPr="004571B7" w:rsidRDefault="001C0C44" w:rsidP="00EC492F">
      <w:pPr>
        <w:pStyle w:val="a4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Поместите одну каплю (приблизительно 50 мкл) соответствующего реагента на </w:t>
      </w:r>
      <w:r>
        <w:rPr>
          <w:sz w:val="10"/>
          <w:szCs w:val="10"/>
        </w:rPr>
        <w:t>планшет</w:t>
      </w:r>
      <w:r w:rsidRPr="004571B7">
        <w:rPr>
          <w:sz w:val="10"/>
          <w:szCs w:val="10"/>
        </w:rPr>
        <w:t>.</w:t>
      </w:r>
    </w:p>
    <w:p w:rsidR="001C0C44" w:rsidRPr="004571B7" w:rsidRDefault="001C0C44" w:rsidP="00EC492F">
      <w:pPr>
        <w:pStyle w:val="a4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Используя пипетку Пастера, добавьте одну каплю осадка эритроцитов или цельной крови (приблизительно 50 мкл) на </w:t>
      </w:r>
      <w:r>
        <w:rPr>
          <w:sz w:val="10"/>
          <w:szCs w:val="10"/>
        </w:rPr>
        <w:t>планшет</w:t>
      </w:r>
      <w:r w:rsidRPr="004571B7">
        <w:rPr>
          <w:sz w:val="10"/>
          <w:szCs w:val="10"/>
        </w:rPr>
        <w:t>.</w:t>
      </w:r>
    </w:p>
    <w:p w:rsidR="001C0C44" w:rsidRPr="004571B7" w:rsidRDefault="001C0C44" w:rsidP="00EC492F">
      <w:pPr>
        <w:pStyle w:val="a4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Тщательно смешайте эритроциты с реагентом и сформируйте круг (диаметром 2 см).</w:t>
      </w:r>
    </w:p>
    <w:p w:rsidR="001C0C44" w:rsidRPr="003A5E44" w:rsidRDefault="001C0C44" w:rsidP="00EC492F">
      <w:pPr>
        <w:pStyle w:val="a4"/>
        <w:keepNext/>
        <w:keepLines/>
        <w:numPr>
          <w:ilvl w:val="0"/>
          <w:numId w:val="5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вращая </w:t>
      </w:r>
      <w:r>
        <w:rPr>
          <w:sz w:val="10"/>
          <w:szCs w:val="10"/>
        </w:rPr>
        <w:t>планшет, проверьте агглютинацию в пределах</w:t>
      </w:r>
      <w:r w:rsidRPr="004571B7">
        <w:rPr>
          <w:sz w:val="10"/>
          <w:szCs w:val="10"/>
        </w:rPr>
        <w:t xml:space="preserve"> 1 минуты (реакция начнется в течение нескольких секунд). Неспецифические реакции могут возникнуть при высыхании реактивной формации или нагревания.</w:t>
      </w:r>
    </w:p>
    <w:p w:rsidR="001C0C44" w:rsidRPr="004571B7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</w:t>
      </w:r>
      <w:r w:rsidRPr="004571B7">
        <w:rPr>
          <w:b/>
          <w:sz w:val="10"/>
          <w:szCs w:val="10"/>
          <w:lang w:val="en-US"/>
        </w:rPr>
        <w:t xml:space="preserve"> </w:t>
      </w:r>
      <w:r w:rsidRPr="004571B7">
        <w:rPr>
          <w:b/>
          <w:sz w:val="10"/>
          <w:szCs w:val="10"/>
        </w:rPr>
        <w:t>центрифугирования в пробирке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Хорошо перемешайте путем легкого встряхивания.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Инкубируйте пробирку при комнатной температуре  (15 – 30</w:t>
      </w:r>
      <w:r w:rsidRPr="004571B7">
        <w:rPr>
          <w:sz w:val="10"/>
          <w:szCs w:val="10"/>
        </w:rPr>
        <w:sym w:font="Symbol" w:char="F0B0"/>
      </w:r>
      <w:r w:rsidRPr="004571B7">
        <w:rPr>
          <w:sz w:val="10"/>
          <w:szCs w:val="10"/>
        </w:rPr>
        <w:t>С) в течение 1 – 15 мин.</w:t>
      </w:r>
    </w:p>
    <w:p w:rsidR="001C0C44" w:rsidRPr="004571B7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</w:t>
      </w:r>
      <w:r>
        <w:rPr>
          <w:sz w:val="10"/>
          <w:szCs w:val="10"/>
        </w:rPr>
        <w:t>рифугируйте пробирки 1 мин при 2</w:t>
      </w:r>
      <w:r w:rsidRPr="004571B7">
        <w:rPr>
          <w:sz w:val="10"/>
          <w:szCs w:val="10"/>
        </w:rPr>
        <w:t xml:space="preserve">000 об./мин (примерно </w:t>
      </w:r>
      <w:r>
        <w:rPr>
          <w:sz w:val="10"/>
          <w:szCs w:val="10"/>
        </w:rPr>
        <w:t>800</w:t>
      </w:r>
      <w:r w:rsidRPr="004571B7">
        <w:rPr>
          <w:sz w:val="10"/>
          <w:szCs w:val="10"/>
        </w:rPr>
        <w:t xml:space="preserve"> – </w:t>
      </w:r>
      <w:r>
        <w:rPr>
          <w:sz w:val="10"/>
          <w:szCs w:val="10"/>
        </w:rPr>
        <w:t>1000</w:t>
      </w:r>
      <w:r w:rsidRPr="004571B7">
        <w:rPr>
          <w:sz w:val="10"/>
          <w:szCs w:val="10"/>
        </w:rPr>
        <w:t xml:space="preserve"> г).</w:t>
      </w:r>
    </w:p>
    <w:p w:rsidR="001C0C44" w:rsidRPr="003A5E44" w:rsidRDefault="001C0C44" w:rsidP="00265EB5">
      <w:pPr>
        <w:pStyle w:val="a4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Осторожно ресуспензируйте эритроц</w:t>
      </w:r>
      <w:r>
        <w:rPr>
          <w:sz w:val="10"/>
          <w:szCs w:val="10"/>
        </w:rPr>
        <w:t>иты и наблюдайте агглютинацию в пределах</w:t>
      </w:r>
      <w:r w:rsidRPr="004571B7">
        <w:rPr>
          <w:sz w:val="10"/>
          <w:szCs w:val="10"/>
        </w:rPr>
        <w:t xml:space="preserve"> 3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1C0C44" w:rsidRPr="004571B7" w:rsidRDefault="001C0C44" w:rsidP="00265EB5">
      <w:pPr>
        <w:pStyle w:val="a4"/>
        <w:keepNext/>
        <w:keepLines/>
        <w:spacing w:after="0" w:line="240" w:lineRule="auto"/>
        <w:ind w:left="181" w:hanging="181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Гелевый</w:t>
      </w:r>
      <w:r>
        <w:rPr>
          <w:b/>
          <w:sz w:val="10"/>
          <w:szCs w:val="10"/>
        </w:rPr>
        <w:t xml:space="preserve"> </w:t>
      </w:r>
      <w:r w:rsidRPr="004571B7">
        <w:rPr>
          <w:b/>
          <w:sz w:val="10"/>
          <w:szCs w:val="10"/>
        </w:rPr>
        <w:t>метод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7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0,8 % суспензию эритроцитов в растворе для гелевых карт.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7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50 мкл соответствующей суспензии эритроцитов в каждую микропробирку.</w:t>
      </w:r>
    </w:p>
    <w:p w:rsidR="001C0C44" w:rsidRPr="006D3B63" w:rsidRDefault="001C0C44" w:rsidP="006A21C6">
      <w:pPr>
        <w:pStyle w:val="a4"/>
        <w:keepNext/>
        <w:keepLines/>
        <w:numPr>
          <w:ilvl w:val="0"/>
          <w:numId w:val="7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25 мкл соответствующей тест-сыворотки в каждую микропробирку. Если используетс</w:t>
      </w:r>
      <w:r>
        <w:rPr>
          <w:sz w:val="10"/>
          <w:szCs w:val="10"/>
        </w:rPr>
        <w:t>я автоматический метод, добавляется</w:t>
      </w:r>
      <w:r w:rsidRPr="006D3B63">
        <w:rPr>
          <w:sz w:val="10"/>
          <w:szCs w:val="10"/>
        </w:rPr>
        <w:t xml:space="preserve"> 10 мкл тест-сыворотки. Вообще, 10 мкл может быть использоваться и в ручном методе.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7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Центрифугируйте карты в соответствующей центрифуге </w:t>
      </w:r>
      <w:r>
        <w:rPr>
          <w:sz w:val="10"/>
          <w:szCs w:val="10"/>
        </w:rPr>
        <w:t>не позднее</w:t>
      </w:r>
      <w:r w:rsidRPr="004571B7">
        <w:rPr>
          <w:sz w:val="10"/>
          <w:szCs w:val="10"/>
        </w:rPr>
        <w:t xml:space="preserve"> 30 минут.</w:t>
      </w:r>
    </w:p>
    <w:p w:rsidR="001C0C44" w:rsidRPr="006B39E7" w:rsidRDefault="001C0C44" w:rsidP="006A21C6">
      <w:pPr>
        <w:pStyle w:val="a4"/>
        <w:keepNext/>
        <w:keepLines/>
        <w:numPr>
          <w:ilvl w:val="0"/>
          <w:numId w:val="7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Наблюдайте агглютинацию </w:t>
      </w:r>
      <w:r>
        <w:rPr>
          <w:sz w:val="10"/>
          <w:szCs w:val="10"/>
        </w:rPr>
        <w:t>в пределах</w:t>
      </w:r>
      <w:r w:rsidRPr="004571B7">
        <w:rPr>
          <w:sz w:val="10"/>
          <w:szCs w:val="10"/>
        </w:rPr>
        <w:t xml:space="preserve"> 30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1C0C44" w:rsidRPr="004571B7" w:rsidRDefault="001C0C44" w:rsidP="006A21C6">
      <w:pPr>
        <w:pStyle w:val="a4"/>
        <w:keepNext/>
        <w:keepLines/>
        <w:tabs>
          <w:tab w:val="num" w:pos="181"/>
        </w:tabs>
        <w:spacing w:after="0" w:line="240" w:lineRule="auto"/>
        <w:ind w:left="181" w:hanging="181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Работа в микроплатах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суспензию эритроцитов в изотоническом растворе (эритроциты могут быть однократно или до 3-х раз промытые изотоническим раствором).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50 мкл соответствующей суспензии эритроцитов в каждую лунку.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50 мкл соответствующей тест-сыворотки в каждую лунку.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Смешивайте в течение 30 сек на шейкере с максимальной скоростью.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Центрифугируйте микроплату в соответствующей центрифуге в течение 30 сек при 400 х г.</w:t>
      </w:r>
    </w:p>
    <w:p w:rsidR="001C0C44" w:rsidRPr="007D4993" w:rsidRDefault="001C0C44" w:rsidP="006A21C6">
      <w:pPr>
        <w:pStyle w:val="a4"/>
        <w:keepNext/>
        <w:keepLines/>
        <w:numPr>
          <w:ilvl w:val="0"/>
          <w:numId w:val="8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Шейкируйте 30 мин со средней скоростью, наблюдайте агглютинацию.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b/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ИНТЕРПРЕТАЦИЯ РЕЗУЛЬТАТОВ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Легкое вращение/встряхивание в </w:t>
      </w:r>
      <w:r w:rsidRPr="004571B7">
        <w:rPr>
          <w:b/>
          <w:sz w:val="10"/>
          <w:szCs w:val="10"/>
        </w:rPr>
        <w:t>методе на плоскости/центрифугировании в пробирке: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Положительный результат (+): видимая алллютинация эритроцитов является положительным результатом и показывает наличие соответствующего антигена.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1C0C44" w:rsidRPr="007D4993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Считывание и интерпретация результатов, полученных на гелевых картах, проводится согласно инструкциям по использованию карт.</w:t>
      </w:r>
    </w:p>
    <w:p w:rsidR="001C0C44" w:rsidRPr="003A5E44" w:rsidRDefault="001C0C44" w:rsidP="00265EB5">
      <w:pPr>
        <w:pStyle w:val="a4"/>
        <w:keepNext/>
        <w:keepLines/>
        <w:spacing w:after="0" w:line="240" w:lineRule="auto"/>
        <w:contextualSpacing/>
        <w:jc w:val="both"/>
        <w:rPr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ОГРАНИЧЕНИЯ МЕТОДА</w:t>
      </w:r>
    </w:p>
    <w:p w:rsidR="001C0C44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Неправильного заключения по результатам исследования можно избежать, если ставить одновременно контроль.</w:t>
      </w:r>
    </w:p>
    <w:p w:rsidR="001C0C44" w:rsidRPr="004571B7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Обработанные ферментом эритроциты могут давать неспецифическую реакцию.</w:t>
      </w:r>
    </w:p>
    <w:p w:rsidR="001C0C44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C60045">
        <w:rPr>
          <w:sz w:val="10"/>
          <w:szCs w:val="10"/>
        </w:rPr>
        <w:t xml:space="preserve">Из-за разной экспрессии эритроцитов действенность этих реагентов против определенных фенотипов может дать более слабую реакцию по сравнению с контрольными клетками. </w:t>
      </w:r>
    </w:p>
    <w:p w:rsidR="001C0C44" w:rsidRPr="00C60045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C60045">
        <w:rPr>
          <w:sz w:val="10"/>
          <w:szCs w:val="10"/>
        </w:rPr>
        <w:t>Эритроциты, покрытые алло- или аутоантителами такой-же как реагент или подобной специфичности (т.е. клетки, дающие положительную реакцию в прямом антиглобулиновом тесте) могут дать ослабленную реакцию. В исключительных случаях могут наблюдаться ложно-положительные реакции.</w:t>
      </w:r>
    </w:p>
    <w:p w:rsidR="001C0C44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before="240" w:line="240" w:lineRule="auto"/>
        <w:ind w:left="142" w:hanging="142"/>
        <w:contextualSpacing/>
        <w:jc w:val="both"/>
        <w:rPr>
          <w:sz w:val="10"/>
          <w:szCs w:val="10"/>
        </w:rPr>
      </w:pPr>
      <w:r w:rsidRPr="004150D9">
        <w:rPr>
          <w:sz w:val="10"/>
          <w:szCs w:val="10"/>
        </w:rPr>
        <w:t>Эритроциты, покрытые антителами (клетки, дающие положительную реакцию в прямом антиглобулиновом тесте), могут давать ложноположительные результаты в гелевой методике. Данные эритроциты дают положительную реакцию и без добавления тест-сыворотки.</w:t>
      </w:r>
    </w:p>
    <w:p w:rsidR="001C0C44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before="240"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Обращайте внимание на ограничения, указанные в инструкциях к гелевым картам.</w:t>
      </w:r>
    </w:p>
    <w:p w:rsidR="001C0C44" w:rsidRDefault="001C0C44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before="240" w:line="240" w:lineRule="auto"/>
        <w:ind w:left="142" w:hanging="142"/>
        <w:contextualSpacing/>
        <w:jc w:val="both"/>
        <w:rPr>
          <w:sz w:val="10"/>
          <w:szCs w:val="10"/>
        </w:rPr>
      </w:pPr>
      <w:r w:rsidRPr="00C60045">
        <w:rPr>
          <w:sz w:val="10"/>
          <w:szCs w:val="10"/>
        </w:rPr>
        <w:t xml:space="preserve">Отрицательные результаты с Тест-сывороткой Анти-е (клоны </w:t>
      </w:r>
      <w:r w:rsidRPr="00C60045">
        <w:rPr>
          <w:sz w:val="10"/>
          <w:szCs w:val="10"/>
          <w:lang w:val="en-US"/>
        </w:rPr>
        <w:t>MS</w:t>
      </w:r>
      <w:r w:rsidRPr="00C60045">
        <w:rPr>
          <w:sz w:val="10"/>
          <w:szCs w:val="10"/>
        </w:rPr>
        <w:t xml:space="preserve">-62, </w:t>
      </w:r>
      <w:r w:rsidRPr="00C60045">
        <w:rPr>
          <w:sz w:val="10"/>
          <w:szCs w:val="10"/>
          <w:lang w:val="en-US"/>
        </w:rPr>
        <w:t>MS</w:t>
      </w:r>
      <w:r w:rsidRPr="00C60045">
        <w:rPr>
          <w:sz w:val="10"/>
          <w:szCs w:val="10"/>
        </w:rPr>
        <w:t>-69), полученные при работе в микроплатах, должны быть подтверждены другими методами, т.к. могут быть получены ложно-отрицательные результаты.</w:t>
      </w:r>
    </w:p>
    <w:p w:rsidR="001C0C44" w:rsidRPr="00C60045" w:rsidRDefault="00B737F2" w:rsidP="006A21C6">
      <w:pPr>
        <w:pStyle w:val="a4"/>
        <w:keepNext/>
        <w:keepLines/>
        <w:numPr>
          <w:ilvl w:val="0"/>
          <w:numId w:val="9"/>
        </w:numPr>
        <w:shd w:val="clear" w:color="auto" w:fill="auto"/>
        <w:tabs>
          <w:tab w:val="clear" w:pos="720"/>
        </w:tabs>
        <w:spacing w:before="240" w:line="240" w:lineRule="auto"/>
        <w:ind w:left="142" w:hanging="142"/>
        <w:contextualSpacing/>
        <w:jc w:val="both"/>
        <w:rPr>
          <w:sz w:val="10"/>
          <w:szCs w:val="10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39370</wp:posOffset>
            </wp:positionV>
            <wp:extent cx="1979930" cy="5334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C44" w:rsidRPr="00C60045">
        <w:rPr>
          <w:sz w:val="10"/>
          <w:szCs w:val="10"/>
        </w:rPr>
        <w:t>С пуповинной кровью Тест-сыворотка Анти-с (клон: MS 33) может дать anti-I/i холодовую агглютинацию и поэтому показать ложно-положительные результаты.</w:t>
      </w:r>
      <w:bookmarkStart w:id="0" w:name="_GoBack"/>
      <w:bookmarkEnd w:id="0"/>
    </w:p>
    <w:p w:rsidR="001C0C44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</w:p>
    <w:p w:rsidR="001C0C44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  <w:lang w:val="ru-RU"/>
        </w:rPr>
      </w:pPr>
    </w:p>
    <w:p w:rsidR="001C0C44" w:rsidRPr="00183B35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  <w:r w:rsidRPr="00183B35">
        <w:rPr>
          <w:rFonts w:cs="Arial"/>
          <w:color w:val="auto"/>
          <w:sz w:val="8"/>
          <w:szCs w:val="8"/>
        </w:rPr>
        <w:t>ANTITOXIN GmbH</w:t>
      </w:r>
    </w:p>
    <w:p w:rsidR="001C0C44" w:rsidRPr="00183B35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  <w:r w:rsidRPr="00183B35">
        <w:rPr>
          <w:rFonts w:cs="Arial"/>
          <w:color w:val="auto"/>
          <w:sz w:val="8"/>
          <w:szCs w:val="8"/>
        </w:rPr>
        <w:t xml:space="preserve">Industriestrasse 88, </w:t>
      </w:r>
    </w:p>
    <w:p w:rsidR="001C0C44" w:rsidRPr="00183B35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  <w:r w:rsidRPr="00183B35">
        <w:rPr>
          <w:rFonts w:cs="Arial"/>
          <w:color w:val="auto"/>
          <w:sz w:val="8"/>
          <w:szCs w:val="8"/>
        </w:rPr>
        <w:t>69245 Bammental, Deutschland</w:t>
      </w:r>
    </w:p>
    <w:p w:rsidR="001C0C44" w:rsidRPr="00183B35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</w:p>
    <w:p w:rsidR="001C0C44" w:rsidRPr="00183B35" w:rsidRDefault="001C0C44" w:rsidP="00183B35">
      <w:pPr>
        <w:autoSpaceDE w:val="0"/>
        <w:autoSpaceDN w:val="0"/>
        <w:adjustRightInd w:val="0"/>
        <w:rPr>
          <w:rFonts w:cs="Arial"/>
          <w:color w:val="auto"/>
          <w:sz w:val="8"/>
          <w:szCs w:val="8"/>
        </w:rPr>
      </w:pPr>
      <w:r w:rsidRPr="00183B35">
        <w:rPr>
          <w:rFonts w:cs="Arial"/>
          <w:color w:val="auto"/>
          <w:sz w:val="8"/>
          <w:szCs w:val="8"/>
        </w:rPr>
        <w:t xml:space="preserve">730-13-0511 </w:t>
      </w:r>
      <w:r>
        <w:rPr>
          <w:rFonts w:cs="Arial"/>
          <w:color w:val="auto"/>
          <w:sz w:val="8"/>
          <w:szCs w:val="8"/>
          <w:lang w:val="ru-RU"/>
        </w:rPr>
        <w:t>Версия</w:t>
      </w:r>
      <w:r w:rsidRPr="00183B35">
        <w:rPr>
          <w:rFonts w:cs="Arial"/>
          <w:color w:val="auto"/>
          <w:sz w:val="8"/>
          <w:szCs w:val="8"/>
        </w:rPr>
        <w:t xml:space="preserve"> 011 / </w:t>
      </w:r>
      <w:r>
        <w:rPr>
          <w:rFonts w:cs="Arial"/>
          <w:color w:val="auto"/>
          <w:sz w:val="8"/>
          <w:szCs w:val="8"/>
          <w:lang w:val="ru-RU"/>
        </w:rPr>
        <w:t>Июль</w:t>
      </w:r>
      <w:r w:rsidRPr="00183B35">
        <w:rPr>
          <w:rFonts w:cs="Arial"/>
          <w:color w:val="auto"/>
          <w:sz w:val="8"/>
          <w:szCs w:val="8"/>
        </w:rPr>
        <w:t xml:space="preserve"> 2007</w:t>
      </w:r>
    </w:p>
    <w:p w:rsidR="001C0C44" w:rsidRPr="00D274EA" w:rsidRDefault="001C0C44" w:rsidP="00AE0457">
      <w:pPr>
        <w:pStyle w:val="a4"/>
        <w:shd w:val="clear" w:color="auto" w:fill="auto"/>
        <w:spacing w:after="0" w:line="80" w:lineRule="exact"/>
        <w:jc w:val="both"/>
        <w:rPr>
          <w:lang w:val="en-US"/>
        </w:rPr>
      </w:pPr>
    </w:p>
    <w:sectPr w:rsidR="001C0C44" w:rsidRPr="00D274EA" w:rsidSect="00183B35">
      <w:type w:val="continuous"/>
      <w:pgSz w:w="11905" w:h="16837"/>
      <w:pgMar w:top="158" w:right="1291" w:bottom="142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399" w:rsidRDefault="00A97399" w:rsidP="00D756EE">
      <w:r>
        <w:separator/>
      </w:r>
    </w:p>
  </w:endnote>
  <w:endnote w:type="continuationSeparator" w:id="0">
    <w:p w:rsidR="00A97399" w:rsidRDefault="00A97399" w:rsidP="00D7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399" w:rsidRDefault="00A97399"/>
  </w:footnote>
  <w:footnote w:type="continuationSeparator" w:id="0">
    <w:p w:rsidR="00A97399" w:rsidRDefault="00A973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4" w15:restartNumberingAfterBreak="0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CF328A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8" w15:restartNumberingAfterBreak="0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EE"/>
    <w:rsid w:val="00030561"/>
    <w:rsid w:val="000645D4"/>
    <w:rsid w:val="00067919"/>
    <w:rsid w:val="0007651E"/>
    <w:rsid w:val="00085285"/>
    <w:rsid w:val="000F1C4F"/>
    <w:rsid w:val="00107CB7"/>
    <w:rsid w:val="0011060E"/>
    <w:rsid w:val="00111FDC"/>
    <w:rsid w:val="00181675"/>
    <w:rsid w:val="00183B35"/>
    <w:rsid w:val="001C0C44"/>
    <w:rsid w:val="00202C28"/>
    <w:rsid w:val="00240937"/>
    <w:rsid w:val="00247BF9"/>
    <w:rsid w:val="00265EB5"/>
    <w:rsid w:val="003419C0"/>
    <w:rsid w:val="00393A90"/>
    <w:rsid w:val="003A5E44"/>
    <w:rsid w:val="003D3A40"/>
    <w:rsid w:val="004026E3"/>
    <w:rsid w:val="004150D9"/>
    <w:rsid w:val="004362EB"/>
    <w:rsid w:val="004571B7"/>
    <w:rsid w:val="00480E5D"/>
    <w:rsid w:val="004A2E4B"/>
    <w:rsid w:val="004B100C"/>
    <w:rsid w:val="00511483"/>
    <w:rsid w:val="00573F09"/>
    <w:rsid w:val="005D4CA0"/>
    <w:rsid w:val="00616C14"/>
    <w:rsid w:val="0063323F"/>
    <w:rsid w:val="00684CDE"/>
    <w:rsid w:val="006A21C6"/>
    <w:rsid w:val="006B39E7"/>
    <w:rsid w:val="006B4F59"/>
    <w:rsid w:val="006C1D69"/>
    <w:rsid w:val="006C39E2"/>
    <w:rsid w:val="006D3B63"/>
    <w:rsid w:val="006D4B59"/>
    <w:rsid w:val="00715157"/>
    <w:rsid w:val="0071691D"/>
    <w:rsid w:val="007369C9"/>
    <w:rsid w:val="00754441"/>
    <w:rsid w:val="007C1B70"/>
    <w:rsid w:val="007D4993"/>
    <w:rsid w:val="008F0DB4"/>
    <w:rsid w:val="008F3473"/>
    <w:rsid w:val="00993410"/>
    <w:rsid w:val="009E2947"/>
    <w:rsid w:val="009E58D4"/>
    <w:rsid w:val="00A47EC8"/>
    <w:rsid w:val="00A75996"/>
    <w:rsid w:val="00A97399"/>
    <w:rsid w:val="00AE0457"/>
    <w:rsid w:val="00B33D0E"/>
    <w:rsid w:val="00B462BE"/>
    <w:rsid w:val="00B737F2"/>
    <w:rsid w:val="00B8446B"/>
    <w:rsid w:val="00BB7CFC"/>
    <w:rsid w:val="00BD1515"/>
    <w:rsid w:val="00BE72C2"/>
    <w:rsid w:val="00BF53A8"/>
    <w:rsid w:val="00C044C5"/>
    <w:rsid w:val="00C05618"/>
    <w:rsid w:val="00C1665E"/>
    <w:rsid w:val="00C40D4B"/>
    <w:rsid w:val="00C433DE"/>
    <w:rsid w:val="00C60045"/>
    <w:rsid w:val="00C7380C"/>
    <w:rsid w:val="00D274EA"/>
    <w:rsid w:val="00D5147C"/>
    <w:rsid w:val="00D60D40"/>
    <w:rsid w:val="00D756EE"/>
    <w:rsid w:val="00D8277D"/>
    <w:rsid w:val="00DC61EE"/>
    <w:rsid w:val="00E139B4"/>
    <w:rsid w:val="00E667F4"/>
    <w:rsid w:val="00E676C7"/>
    <w:rsid w:val="00EC492F"/>
    <w:rsid w:val="00EF7E12"/>
    <w:rsid w:val="00F23F03"/>
    <w:rsid w:val="00F60712"/>
    <w:rsid w:val="00F8556C"/>
    <w:rsid w:val="00F93B14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C6781B-84AF-4B90-9309-409651A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6EE"/>
    <w:rPr>
      <w:color w:val="000000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a3">
    <w:name w:val="Hyperlink"/>
    <w:basedOn w:val="a0"/>
    <w:uiPriority w:val="99"/>
    <w:rsid w:val="00D756EE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2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3">
    <w:name w:val="Заголовок №2_"/>
    <w:link w:val="24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2">
    <w:name w:val="Основной текст (2)"/>
    <w:basedOn w:val="a"/>
    <w:link w:val="21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a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4">
    <w:name w:val="Заголовок №2"/>
    <w:basedOn w:val="a"/>
    <w:link w:val="23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a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a4">
    <w:name w:val="Body Text"/>
    <w:basedOn w:val="a"/>
    <w:link w:val="11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11">
    <w:name w:val="Основной текст Знак1"/>
    <w:basedOn w:val="a0"/>
    <w:link w:val="a4"/>
    <w:uiPriority w:val="99"/>
    <w:semiHidden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a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7">
    <w:name w:val="Основной текст Знак"/>
    <w:basedOn w:val="a0"/>
    <w:uiPriority w:val="99"/>
    <w:locked/>
    <w:rsid w:val="006A21C6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Gebinfo_Anti_A_B_AB_7.doc</vt:lpstr>
    </vt:vector>
  </TitlesOfParts>
  <Company/>
  <LinksUpToDate>false</LinksUpToDate>
  <CharactersWithSpaces>17152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olga</cp:lastModifiedBy>
  <cp:revision>3</cp:revision>
  <cp:lastPrinted>2018-12-28T06:43:00Z</cp:lastPrinted>
  <dcterms:created xsi:type="dcterms:W3CDTF">2018-12-28T06:53:00Z</dcterms:created>
  <dcterms:modified xsi:type="dcterms:W3CDTF">2018-12-28T06:53:00Z</dcterms:modified>
</cp:coreProperties>
</file>